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79"/>
        <w:gridCol w:w="1032"/>
        <w:gridCol w:w="1032"/>
        <w:gridCol w:w="816"/>
        <w:gridCol w:w="2049"/>
        <w:gridCol w:w="541"/>
        <w:gridCol w:w="617"/>
        <w:gridCol w:w="1156"/>
      </w:tblGrid>
      <w:tr w:rsidR="00574359" w:rsidRPr="002956F9" w:rsidTr="000C4073">
        <w:trPr>
          <w:trHeight w:val="567"/>
          <w:jc w:val="center"/>
        </w:trPr>
        <w:tc>
          <w:tcPr>
            <w:tcW w:w="0" w:type="auto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4359" w:rsidRPr="002956F9" w:rsidRDefault="000C3FDF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附</w:t>
            </w:r>
            <w:bookmarkStart w:id="0" w:name="_GoBack"/>
            <w:bookmarkEnd w:id="0"/>
            <w:r w:rsidR="00574359" w:rsidRPr="002956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表</w:t>
            </w:r>
            <w:r w:rsidR="0057435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3</w:t>
            </w:r>
            <w:r w:rsidR="00574359" w:rsidRPr="002956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:</w:t>
            </w:r>
            <w:r w:rsidR="00574359" w:rsidRPr="002956F9">
              <w:rPr>
                <w:rFonts w:ascii="仿宋" w:eastAsia="仿宋" w:hAnsi="仿宋"/>
                <w:b/>
                <w:bCs/>
                <w:sz w:val="20"/>
                <w:szCs w:val="20"/>
              </w:rPr>
              <w:t>直接攻读博士学位研究生必修课程/环节设置及学分要求</w:t>
            </w:r>
          </w:p>
        </w:tc>
      </w:tr>
      <w:tr w:rsidR="00574359" w:rsidRPr="002956F9" w:rsidTr="000C4073">
        <w:trPr>
          <w:trHeight w:val="62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课程性质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课程</w:t>
            </w:r>
          </w:p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学分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/>
                <w:sz w:val="20"/>
                <w:szCs w:val="20"/>
              </w:rPr>
              <w:t>要求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学位必修课及环节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学位理论课程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公共课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中国马克思主义与当代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英语一外（博）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必修1门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研究生日语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研究生俄语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人文（或科技）专题课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必修1门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公共课必修学分小计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</w:rPr>
              <w:t>≥5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基础</w:t>
            </w:r>
          </w:p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及</w:t>
            </w:r>
            <w:r w:rsidRPr="002956F9">
              <w:rPr>
                <w:rFonts w:ascii="仿宋" w:eastAsia="仿宋" w:hAnsi="仿宋"/>
                <w:sz w:val="20"/>
                <w:szCs w:val="20"/>
              </w:rPr>
              <w:t>学科理论课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数值分析A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矩阵理论A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数理统计A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高新技术中的物理学基础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高等量子力学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高等统计物理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现代物理测量原理与技术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物理学中近代数学方法（博）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学科综合课（博）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科学写作与报告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辐射剂量与防护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核辐射物理及探测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pStyle w:val="a5"/>
              <w:snapToGrid w:val="0"/>
              <w:spacing w:before="0" w:after="0"/>
              <w:rPr>
                <w:rFonts w:ascii="仿宋" w:eastAsia="仿宋" w:hAnsi="仿宋" w:cs="Times New Roman"/>
                <w:kern w:val="2"/>
                <w:sz w:val="20"/>
                <w:szCs w:val="20"/>
              </w:rPr>
            </w:pPr>
            <w:r w:rsidRPr="002956F9">
              <w:rPr>
                <w:rFonts w:ascii="仿宋" w:eastAsia="仿宋" w:hAnsi="仿宋" w:cs="Times New Roman" w:hint="eastAsia"/>
                <w:kern w:val="2"/>
                <w:sz w:val="20"/>
                <w:szCs w:val="20"/>
              </w:rPr>
              <w:t>肿瘤放射物理学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生理学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影像解剖学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诊断学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基础及学科</w:t>
            </w:r>
            <w:r w:rsidRPr="002956F9">
              <w:rPr>
                <w:rFonts w:ascii="仿宋" w:eastAsia="仿宋" w:hAnsi="仿宋"/>
                <w:sz w:val="20"/>
                <w:szCs w:val="20"/>
              </w:rPr>
              <w:t>理论课必修学分小计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</w:rPr>
              <w:t>≥</w:t>
            </w: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专业课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计算物理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highlight w:val="yellow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  <w:highlight w:val="yellow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191516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kern w:val="0"/>
                <w:sz w:val="20"/>
                <w:szCs w:val="20"/>
              </w:rPr>
              <w:t>加速器原理与粒子探测技术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highlight w:val="yellow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191510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核技术及应用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highlight w:val="yellow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  <w:highlight w:val="yellow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医学影像物理学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辐射生物学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医学物理前沿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临床放射肿瘤学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放射性同位素技术与安全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保健物理学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专业课必修学分小计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</w:rPr>
              <w:t>≥</w:t>
            </w: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跨学科课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 xml:space="preserve"> 导师指导下跨一级学科选必修课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跨学科课必修学分小计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</w:rPr>
              <w:t>≥</w:t>
            </w: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学位理论课必修学分合计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>≥</w:t>
            </w: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专业实验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医学物理实验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辐射物理实验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必修1门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191708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高等核物理实验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lef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文献综述与开题报告（博）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lef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学术报告（博）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lef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学术交流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综合实践环节必修学分合计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>≥</w:t>
            </w:r>
            <w:r w:rsidRPr="002956F9">
              <w:rPr>
                <w:rFonts w:ascii="仿宋" w:eastAsia="仿宋" w:hAnsi="仿宋" w:hint="eastAsia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学位选修课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001801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英语二外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一外非英语必修</w:t>
            </w:r>
          </w:p>
        </w:tc>
      </w:tr>
      <w:tr w:rsidR="00574359" w:rsidRPr="002956F9" w:rsidTr="000C4073">
        <w:trPr>
          <w:trHeight w:hRule="exact" w:val="397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</w:rPr>
              <w:t>学分总计及说明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sz w:val="20"/>
                <w:szCs w:val="20"/>
              </w:rPr>
              <w:t>必须同时满足学分的小计、合计及总学分要求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>≥</w:t>
            </w:r>
            <w:r w:rsidRPr="002956F9">
              <w:rPr>
                <w:rFonts w:ascii="仿宋" w:eastAsia="仿宋" w:hAnsi="仿宋"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59" w:rsidRPr="002956F9" w:rsidRDefault="00574359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2956F9"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  <w:t xml:space="preserve">  </w:t>
            </w:r>
          </w:p>
        </w:tc>
      </w:tr>
    </w:tbl>
    <w:p w:rsidR="00106F2C" w:rsidRDefault="00106F2C"/>
    <w:sectPr w:rsidR="0010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CC" w:rsidRDefault="00FD5DCC" w:rsidP="00574359">
      <w:r>
        <w:separator/>
      </w:r>
    </w:p>
  </w:endnote>
  <w:endnote w:type="continuationSeparator" w:id="0">
    <w:p w:rsidR="00FD5DCC" w:rsidRDefault="00FD5DCC" w:rsidP="005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CC" w:rsidRDefault="00FD5DCC" w:rsidP="00574359">
      <w:r>
        <w:separator/>
      </w:r>
    </w:p>
  </w:footnote>
  <w:footnote w:type="continuationSeparator" w:id="0">
    <w:p w:rsidR="00FD5DCC" w:rsidRDefault="00FD5DCC" w:rsidP="005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74"/>
    <w:rsid w:val="000C3FDF"/>
    <w:rsid w:val="00106F2C"/>
    <w:rsid w:val="00574359"/>
    <w:rsid w:val="008A7851"/>
    <w:rsid w:val="00F14E74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359"/>
    <w:rPr>
      <w:sz w:val="18"/>
      <w:szCs w:val="18"/>
    </w:rPr>
  </w:style>
  <w:style w:type="paragraph" w:customStyle="1" w:styleId="a5">
    <w:name w:val="标准"/>
    <w:basedOn w:val="a"/>
    <w:rsid w:val="00574359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359"/>
    <w:rPr>
      <w:sz w:val="18"/>
      <w:szCs w:val="18"/>
    </w:rPr>
  </w:style>
  <w:style w:type="paragraph" w:customStyle="1" w:styleId="a5">
    <w:name w:val="标准"/>
    <w:basedOn w:val="a"/>
    <w:rsid w:val="00574359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2018-04-18T08:02:00Z</dcterms:created>
  <dcterms:modified xsi:type="dcterms:W3CDTF">2018-04-18T08:07:00Z</dcterms:modified>
</cp:coreProperties>
</file>